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6"/>
      </w:tblGrid>
      <w:tr w:rsidR="002A3020" w:rsidTr="00CD68CB">
        <w:trPr>
          <w:trHeight w:val="4395"/>
        </w:trPr>
        <w:tc>
          <w:tcPr>
            <w:tcW w:w="4426" w:type="dxa"/>
          </w:tcPr>
          <w:p w:rsidR="002A3020" w:rsidRDefault="002A3020" w:rsidP="00CD68CB">
            <w:pPr>
              <w:snapToGrid w:val="0"/>
              <w:jc w:val="center"/>
              <w:rPr>
                <w:sz w:val="20"/>
                <w:szCs w:val="20"/>
              </w:rPr>
            </w:pPr>
            <w:bookmarkStart w:id="0" w:name="_GoBack"/>
            <w:bookmarkEnd w:id="0"/>
            <w:r>
              <w:rPr>
                <w:sz w:val="20"/>
                <w:szCs w:val="20"/>
              </w:rPr>
              <w:t xml:space="preserve">  </w:t>
            </w:r>
            <w:r>
              <w:rPr>
                <w:noProof/>
                <w:sz w:val="20"/>
                <w:szCs w:val="20"/>
                <w:lang w:eastAsia="ru-RU"/>
              </w:rPr>
              <w:drawing>
                <wp:inline distT="0" distB="0" distL="0" distR="0" wp14:anchorId="1A34FB8C" wp14:editId="7DA2FA67">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2A3020" w:rsidRDefault="002A3020" w:rsidP="00CD68CB">
            <w:pPr>
              <w:snapToGrid w:val="0"/>
              <w:jc w:val="center"/>
              <w:rPr>
                <w:sz w:val="20"/>
                <w:szCs w:val="20"/>
              </w:rPr>
            </w:pPr>
            <w:r>
              <w:rPr>
                <w:sz w:val="20"/>
                <w:szCs w:val="20"/>
              </w:rPr>
              <w:t>ПРОФСОЮЗ РАБОТНИКОВ</w:t>
            </w:r>
          </w:p>
          <w:p w:rsidR="002A3020" w:rsidRDefault="002A3020" w:rsidP="00CD68CB">
            <w:pPr>
              <w:jc w:val="center"/>
              <w:rPr>
                <w:sz w:val="20"/>
                <w:szCs w:val="20"/>
              </w:rPr>
            </w:pPr>
            <w:r>
              <w:rPr>
                <w:sz w:val="20"/>
                <w:szCs w:val="20"/>
              </w:rPr>
              <w:t>НАРОДНОГО ОБРАЗОВАНИЯ И НАУКИ</w:t>
            </w:r>
          </w:p>
          <w:p w:rsidR="002A3020" w:rsidRDefault="002A3020" w:rsidP="00CD68CB">
            <w:pPr>
              <w:jc w:val="center"/>
              <w:rPr>
                <w:sz w:val="20"/>
                <w:szCs w:val="20"/>
              </w:rPr>
            </w:pPr>
            <w:r>
              <w:rPr>
                <w:sz w:val="20"/>
                <w:szCs w:val="20"/>
              </w:rPr>
              <w:t>РОССИЙСКОЙ ФЕДЕРАЦИИ</w:t>
            </w:r>
          </w:p>
          <w:p w:rsidR="002A3020" w:rsidRDefault="002A3020" w:rsidP="00CD68CB">
            <w:pPr>
              <w:jc w:val="center"/>
              <w:rPr>
                <w:b/>
                <w:smallCaps/>
              </w:rPr>
            </w:pPr>
            <w:r>
              <w:rPr>
                <w:b/>
                <w:sz w:val="20"/>
                <w:szCs w:val="20"/>
              </w:rPr>
              <w:t>(ОБЩЕРОССИЙСКИЙ ПРОФСОЮЗ</w:t>
            </w:r>
            <w:r>
              <w:rPr>
                <w:b/>
                <w:smallCaps/>
                <w:sz w:val="22"/>
                <w:szCs w:val="22"/>
              </w:rPr>
              <w:t xml:space="preserve"> ОБРАЗОВАНИЯ)</w:t>
            </w:r>
          </w:p>
          <w:p w:rsidR="002A3020" w:rsidRDefault="002A3020" w:rsidP="00CD68CB">
            <w:pPr>
              <w:jc w:val="center"/>
              <w:rPr>
                <w:b/>
                <w:smallCaps/>
              </w:rPr>
            </w:pPr>
            <w:r>
              <w:rPr>
                <w:b/>
                <w:smallCaps/>
                <w:sz w:val="22"/>
                <w:szCs w:val="22"/>
              </w:rPr>
              <w:t>ростовская областная организация</w:t>
            </w:r>
          </w:p>
          <w:p w:rsidR="002A3020" w:rsidRDefault="002A3020" w:rsidP="00CD68CB">
            <w:pPr>
              <w:jc w:val="center"/>
              <w:rPr>
                <w:b/>
                <w:smallCaps/>
              </w:rPr>
            </w:pPr>
            <w:r>
              <w:rPr>
                <w:b/>
                <w:smallCaps/>
                <w:sz w:val="22"/>
                <w:szCs w:val="22"/>
              </w:rPr>
              <w:t>областной комитет</w:t>
            </w:r>
          </w:p>
          <w:p w:rsidR="002A3020" w:rsidRDefault="002A3020" w:rsidP="00CD68CB">
            <w:pPr>
              <w:jc w:val="center"/>
            </w:pPr>
            <w:r>
              <w:rPr>
                <w:sz w:val="22"/>
                <w:szCs w:val="22"/>
              </w:rPr>
              <w:t>пр. Ворошиловский, 87/65</w:t>
            </w:r>
          </w:p>
          <w:p w:rsidR="002A3020" w:rsidRDefault="002A3020" w:rsidP="00CD68CB">
            <w:pPr>
              <w:jc w:val="center"/>
            </w:pPr>
            <w:r>
              <w:rPr>
                <w:sz w:val="22"/>
                <w:szCs w:val="22"/>
              </w:rPr>
              <w:t>г. Ростов-на-Дону, 344010</w:t>
            </w:r>
          </w:p>
          <w:p w:rsidR="002A3020" w:rsidRDefault="002A3020" w:rsidP="00CD68CB">
            <w:pPr>
              <w:jc w:val="center"/>
            </w:pPr>
            <w:r>
              <w:rPr>
                <w:sz w:val="22"/>
                <w:szCs w:val="22"/>
              </w:rPr>
              <w:t>тел/факс (8632) 34-84-60, 39-94-61</w:t>
            </w:r>
          </w:p>
          <w:p w:rsidR="002A3020" w:rsidRDefault="008D072E" w:rsidP="00CD68CB">
            <w:pPr>
              <w:jc w:val="center"/>
              <w:rPr>
                <w:rFonts w:ascii="Arial CYR" w:hAnsi="Arial CYR" w:cs="Arial CYR"/>
                <w:color w:val="000000"/>
                <w:sz w:val="20"/>
                <w:szCs w:val="20"/>
                <w:lang w:eastAsia="ru-RU"/>
              </w:rPr>
            </w:pPr>
            <w:hyperlink r:id="rId8" w:history="1">
              <w:r w:rsidR="002A3020" w:rsidRPr="00C4597F">
                <w:rPr>
                  <w:rStyle w:val="a3"/>
                  <w:rFonts w:ascii="Arial CYR" w:hAnsi="Arial CYR" w:cs="Arial CYR"/>
                  <w:sz w:val="20"/>
                  <w:szCs w:val="20"/>
                  <w:lang w:eastAsia="ru-RU"/>
                </w:rPr>
                <w:t>obkomprof@obkomprof.ru</w:t>
              </w:r>
            </w:hyperlink>
          </w:p>
          <w:p w:rsidR="002A3020" w:rsidRPr="00DA47E8" w:rsidRDefault="008D072E" w:rsidP="00CD68CB">
            <w:pPr>
              <w:jc w:val="center"/>
              <w:rPr>
                <w:sz w:val="12"/>
                <w:szCs w:val="14"/>
              </w:rPr>
            </w:pPr>
            <w:hyperlink r:id="rId9" w:history="1">
              <w:r w:rsidR="002A3020" w:rsidRPr="00C40E69">
                <w:rPr>
                  <w:rStyle w:val="a3"/>
                  <w:lang w:val="en-US"/>
                </w:rPr>
                <w:t>www</w:t>
              </w:r>
              <w:r w:rsidR="002A3020" w:rsidRPr="00DA47E8">
                <w:rPr>
                  <w:rStyle w:val="a3"/>
                </w:rPr>
                <w:t>.</w:t>
              </w:r>
              <w:r w:rsidR="002A3020" w:rsidRPr="00C40E69">
                <w:rPr>
                  <w:rStyle w:val="a3"/>
                  <w:lang w:val="en-US"/>
                </w:rPr>
                <w:t>obkomprof</w:t>
              </w:r>
              <w:r w:rsidR="002A3020" w:rsidRPr="00DA47E8">
                <w:rPr>
                  <w:rStyle w:val="a3"/>
                </w:rPr>
                <w:t>.</w:t>
              </w:r>
              <w:r w:rsidR="002A3020" w:rsidRPr="00C40E69">
                <w:rPr>
                  <w:rStyle w:val="a3"/>
                  <w:lang w:val="en-US"/>
                </w:rPr>
                <w:t>ru</w:t>
              </w:r>
            </w:hyperlink>
          </w:p>
          <w:p w:rsidR="002A3020" w:rsidRPr="00DA47E8" w:rsidRDefault="002A3020" w:rsidP="00CD68CB">
            <w:pPr>
              <w:jc w:val="center"/>
              <w:rPr>
                <w:sz w:val="12"/>
                <w:szCs w:val="14"/>
              </w:rPr>
            </w:pPr>
          </w:p>
          <w:p w:rsidR="002A3020" w:rsidRPr="00C40E69" w:rsidRDefault="002A3020" w:rsidP="004676D6">
            <w:pPr>
              <w:jc w:val="center"/>
            </w:pPr>
            <w:r>
              <w:t xml:space="preserve">№ </w:t>
            </w:r>
            <w:r>
              <w:rPr>
                <w:u w:val="single"/>
              </w:rPr>
              <w:t xml:space="preserve"> _226__  </w:t>
            </w:r>
            <w:r>
              <w:t>от</w:t>
            </w:r>
            <w:r>
              <w:rPr>
                <w:u w:val="single"/>
              </w:rPr>
              <w:t xml:space="preserve">  24 октября__</w:t>
            </w:r>
            <w:r>
              <w:t>2016  г.</w:t>
            </w:r>
          </w:p>
        </w:tc>
      </w:tr>
    </w:tbl>
    <w:p w:rsidR="005D297E" w:rsidRPr="00C15A21" w:rsidRDefault="005D297E" w:rsidP="00082D3B">
      <w:pPr>
        <w:snapToGrid w:val="0"/>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9431E7" w:rsidRDefault="009431E7" w:rsidP="005D297E">
      <w:pPr>
        <w:pStyle w:val="1-11"/>
        <w:jc w:val="both"/>
        <w:rPr>
          <w:rFonts w:ascii="Times New Roman" w:hAnsi="Times New Roman"/>
          <w:sz w:val="28"/>
          <w:szCs w:val="28"/>
        </w:rPr>
      </w:pPr>
    </w:p>
    <w:p w:rsidR="009431E7" w:rsidRDefault="009431E7" w:rsidP="005D297E">
      <w:pPr>
        <w:pStyle w:val="1-11"/>
        <w:jc w:val="both"/>
        <w:rPr>
          <w:rFonts w:ascii="Times New Roman" w:hAnsi="Times New Roman"/>
          <w:sz w:val="28"/>
          <w:szCs w:val="28"/>
        </w:rPr>
      </w:pP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Рекомендации</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по сокращению и устранению</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lastRenderedPageBreak/>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lastRenderedPageBreak/>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т о результатах самообследования;</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коллективный договор, правила внутреннего распорядка обучающихся,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ме обучающихся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договоры об образовании в случае приёма на обучение по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обучающихся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r w:rsidRPr="00B4553A">
        <w:rPr>
          <w:rFonts w:ascii="Times New Roman" w:hAnsi="Times New Roman"/>
          <w:spacing w:val="2"/>
          <w:sz w:val="28"/>
          <w:szCs w:val="28"/>
        </w:rPr>
        <w:t xml:space="preserve">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Минздравсоцразвития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lastRenderedPageBreak/>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Рособрнадзора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lastRenderedPageBreak/>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«Информика» (</w:t>
      </w:r>
      <w:hyperlink r:id="rId10"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r w:rsidRPr="00A57265">
        <w:rPr>
          <w:rFonts w:ascii="Times New Roman" w:hAnsi="Times New Roman"/>
          <w:spacing w:val="2"/>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firstRow="0" w:lastRow="0" w:firstColumn="0" w:lastColumn="0" w:noHBand="0" w:noVBand="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lastRenderedPageBreak/>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lastRenderedPageBreak/>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lastRenderedPageBreak/>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B40FE4" w:rsidRPr="009431E7" w:rsidRDefault="00B40FE4" w:rsidP="00B40FE4">
      <w:pPr>
        <w:jc w:val="right"/>
        <w:rPr>
          <w:b/>
          <w:spacing w:val="-6"/>
          <w:sz w:val="32"/>
          <w:szCs w:val="32"/>
        </w:rPr>
      </w:pPr>
      <w:r w:rsidRPr="009431E7">
        <w:rPr>
          <w:b/>
          <w:spacing w:val="-6"/>
          <w:sz w:val="32"/>
          <w:szCs w:val="32"/>
        </w:rPr>
        <w:t xml:space="preserve">Приложение к письму Общероссийского профсоюза </w:t>
      </w:r>
      <w:r w:rsidRPr="009431E7">
        <w:rPr>
          <w:b/>
          <w:spacing w:val="-6"/>
          <w:sz w:val="32"/>
          <w:szCs w:val="32"/>
        </w:rPr>
        <w:br/>
        <w:t>образования от 07.07.2016 г. № 323</w:t>
      </w:r>
    </w:p>
    <w:p w:rsidR="00B40FE4" w:rsidRPr="009431E7" w:rsidRDefault="00B40FE4" w:rsidP="00B40FE4">
      <w:pPr>
        <w:ind w:left="3828"/>
        <w:rPr>
          <w:b/>
          <w:spacing w:val="-6"/>
          <w:sz w:val="36"/>
          <w:szCs w:val="36"/>
        </w:rPr>
      </w:pPr>
    </w:p>
    <w:p w:rsidR="00B40FE4" w:rsidRPr="009431E7" w:rsidRDefault="00B40FE4" w:rsidP="00B40FE4">
      <w:pPr>
        <w:jc w:val="center"/>
        <w:rPr>
          <w:b/>
          <w:spacing w:val="-6"/>
          <w:sz w:val="36"/>
          <w:szCs w:val="36"/>
        </w:rPr>
      </w:pPr>
      <w:r w:rsidRPr="009431E7">
        <w:rPr>
          <w:b/>
          <w:spacing w:val="-6"/>
          <w:sz w:val="36"/>
          <w:szCs w:val="36"/>
        </w:rPr>
        <w:t>Дополнительные разъяснения</w:t>
      </w:r>
    </w:p>
    <w:p w:rsidR="00B40FE4" w:rsidRPr="009431E7" w:rsidRDefault="00B40FE4" w:rsidP="00B40FE4">
      <w:pPr>
        <w:ind w:left="-567"/>
        <w:jc w:val="center"/>
        <w:rPr>
          <w:b/>
          <w:sz w:val="36"/>
          <w:szCs w:val="36"/>
        </w:rPr>
      </w:pPr>
      <w:r w:rsidRPr="009431E7">
        <w:rPr>
          <w:b/>
          <w:sz w:val="36"/>
          <w:szCs w:val="36"/>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t>от 31 мая 2011 г. № 448н) (далее – квалификационные характеристики).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w:t>
      </w:r>
      <w:r w:rsidRPr="00815697">
        <w:rPr>
          <w:spacing w:val="-6"/>
          <w:sz w:val="28"/>
          <w:szCs w:val="28"/>
        </w:rPr>
        <w:lastRenderedPageBreak/>
        <w:t>время педагогических работников в зависимости от занимаемой должности</w:t>
      </w:r>
      <w:r w:rsidRPr="00815697">
        <w:rPr>
          <w:rStyle w:val="af"/>
          <w:spacing w:val="-6"/>
          <w:sz w:val="28"/>
          <w:szCs w:val="28"/>
        </w:rPr>
        <w:footnoteReference w:id="1"/>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2"/>
      </w:r>
      <w:r w:rsidRPr="00815697">
        <w:rPr>
          <w:rFonts w:ascii="Times New Roman" w:hAnsi="Times New Roman" w:cs="Times New Roman"/>
          <w:spacing w:val="-6"/>
          <w:sz w:val="28"/>
          <w:szCs w:val="28"/>
        </w:rPr>
        <w:t xml:space="preserve"> и дополнениями) (далее – Методические рекомендации 2006 г.), </w:t>
      </w:r>
      <w:r w:rsidRPr="00815697">
        <w:rPr>
          <w:rFonts w:ascii="Times New Roman" w:hAnsi="Times New Roman" w:cs="Times New Roman"/>
          <w:spacing w:val="-6"/>
          <w:sz w:val="28"/>
          <w:szCs w:val="28"/>
        </w:rPr>
        <w:lastRenderedPageBreak/>
        <w:t>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r w:rsidRPr="00815697">
        <w:rPr>
          <w:spacing w:val="-6"/>
          <w:sz w:val="28"/>
          <w:szCs w:val="28"/>
        </w:rPr>
        <w:lastRenderedPageBreak/>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w:t>
      </w:r>
      <w:r>
        <w:rPr>
          <w:spacing w:val="-6"/>
          <w:sz w:val="28"/>
          <w:szCs w:val="28"/>
        </w:rPr>
        <w:br/>
      </w:r>
      <w:r w:rsidRPr="00815697">
        <w:rPr>
          <w:spacing w:val="-6"/>
          <w:sz w:val="28"/>
          <w:szCs w:val="28"/>
        </w:rPr>
        <w:lastRenderedPageBreak/>
        <w:t xml:space="preserve">от 31 декабря 2015 г. № 1577) и пунктом 18.2.2 приказа Минобрнауки России </w:t>
      </w:r>
      <w:r>
        <w:rPr>
          <w:spacing w:val="-6"/>
          <w:sz w:val="28"/>
          <w:szCs w:val="28"/>
        </w:rPr>
        <w:br/>
      </w:r>
      <w:r w:rsidRPr="00815697">
        <w:rPr>
          <w:spacing w:val="-6"/>
          <w:sz w:val="28"/>
          <w:szCs w:val="28"/>
        </w:rP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 xml:space="preserve">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w:t>
      </w:r>
      <w:r w:rsidRPr="00815697">
        <w:rPr>
          <w:spacing w:val="-6"/>
          <w:sz w:val="28"/>
          <w:szCs w:val="28"/>
        </w:rPr>
        <w:lastRenderedPageBreak/>
        <w:t>руководствоваться требованиями ФГОС для проведения их качественного (содержательного), а не количественного (формального) анализа.</w:t>
      </w:r>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3"/>
      </w:r>
      <w:r w:rsidRPr="00815697">
        <w:rPr>
          <w:rFonts w:ascii="Times New Roman" w:hAnsi="Times New Roman"/>
          <w:spacing w:val="-6"/>
          <w:sz w:val="28"/>
          <w:szCs w:val="28"/>
        </w:rPr>
        <w:t xml:space="preserve">, осуществление </w:t>
      </w:r>
      <w:r w:rsidRPr="00815697">
        <w:rPr>
          <w:rFonts w:ascii="Times New Roman" w:hAnsi="Times New Roman"/>
          <w:spacing w:val="-6"/>
          <w:sz w:val="28"/>
          <w:szCs w:val="28"/>
        </w:rPr>
        <w:lastRenderedPageBreak/>
        <w:t>учителями при ведении электронного журнала и дневников обучающихся иных видов деятельности, кроме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lastRenderedPageBreak/>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не допускать выполнения классными руководителями функций органов, осуществляющих общественное управление в сфере образования </w:t>
      </w:r>
      <w:r w:rsidRPr="00815697">
        <w:rPr>
          <w:rFonts w:ascii="Times New Roman" w:hAnsi="Times New Roman"/>
          <w:spacing w:val="-6"/>
          <w:sz w:val="28"/>
          <w:szCs w:val="28"/>
        </w:rPr>
        <w:lastRenderedPageBreak/>
        <w:t>(например,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lastRenderedPageBreak/>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w:t>
      </w:r>
      <w:r w:rsidRPr="00815697">
        <w:rPr>
          <w:rFonts w:ascii="Times New Roman" w:hAnsi="Times New Roman"/>
          <w:spacing w:val="-6"/>
          <w:sz w:val="28"/>
          <w:szCs w:val="28"/>
        </w:rPr>
        <w:lastRenderedPageBreak/>
        <w:t>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2E" w:rsidRDefault="008D072E" w:rsidP="00B40FE4">
      <w:r>
        <w:separator/>
      </w:r>
    </w:p>
  </w:endnote>
  <w:endnote w:type="continuationSeparator" w:id="0">
    <w:p w:rsidR="008D072E" w:rsidRDefault="008D072E" w:rsidP="00B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2E" w:rsidRDefault="008D072E" w:rsidP="00B40FE4">
      <w:r>
        <w:separator/>
      </w:r>
    </w:p>
  </w:footnote>
  <w:footnote w:type="continuationSeparator" w:id="0">
    <w:p w:rsidR="008D072E" w:rsidRDefault="008D072E" w:rsidP="00B40FE4">
      <w:r>
        <w:continuationSeparator/>
      </w:r>
    </w:p>
  </w:footnote>
  <w:footnote w:id="1">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2">
    <w:p w:rsidR="00B40FE4" w:rsidRPr="009E3F03" w:rsidRDefault="00B40FE4" w:rsidP="00B40FE4">
      <w:pPr>
        <w:jc w:val="both"/>
        <w:rPr>
          <w:sz w:val="20"/>
          <w:szCs w:val="20"/>
        </w:rPr>
      </w:pPr>
      <w:r w:rsidRPr="009E3F03">
        <w:rPr>
          <w:rStyle w:val="af"/>
          <w:sz w:val="20"/>
          <w:szCs w:val="20"/>
        </w:rPr>
        <w:footnoteRef/>
      </w:r>
      <w:r>
        <w:rPr>
          <w:sz w:val="20"/>
          <w:szCs w:val="20"/>
        </w:rPr>
        <w:t xml:space="preserve"> 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Минобрнауки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3">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4">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5">
    <w:p w:rsidR="00B40FE4" w:rsidRPr="00751C3C" w:rsidRDefault="00B40FE4" w:rsidP="00B40FE4">
      <w:pPr>
        <w:pStyle w:val="ad"/>
        <w:jc w:val="both"/>
      </w:pPr>
      <w:r w:rsidRPr="00CE0E15">
        <w:rPr>
          <w:rStyle w:val="af"/>
        </w:rPr>
        <w:footnoteRef/>
      </w:r>
      <w:r w:rsidRPr="00CE0E15">
        <w:t xml:space="preserve"> 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7E"/>
    <w:rsid w:val="00082D3B"/>
    <w:rsid w:val="000E5643"/>
    <w:rsid w:val="000F3A99"/>
    <w:rsid w:val="001D6633"/>
    <w:rsid w:val="002A3020"/>
    <w:rsid w:val="00347504"/>
    <w:rsid w:val="004676D6"/>
    <w:rsid w:val="004F6EC4"/>
    <w:rsid w:val="005D297E"/>
    <w:rsid w:val="008D072E"/>
    <w:rsid w:val="009431E7"/>
    <w:rsid w:val="009E20E0"/>
    <w:rsid w:val="00A7610E"/>
    <w:rsid w:val="00B40FE4"/>
    <w:rsid w:val="00DB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9650BB-33A7-4529-995C-B7889DB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komprof@obkomprof.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formika.ru" TargetMode="External"/><Relationship Id="rId4" Type="http://schemas.openxmlformats.org/officeDocument/2006/relationships/webSettings" Target="webSettings.xml"/><Relationship Id="rId9" Type="http://schemas.openxmlformats.org/officeDocument/2006/relationships/hyperlink" Target="http://www.obkomprof.aaanet.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ws_u</dc:creator>
  <cp:keywords/>
  <dc:description/>
  <cp:lastModifiedBy>Windows User</cp:lastModifiedBy>
  <cp:revision>2</cp:revision>
  <cp:lastPrinted>2016-10-24T07:17:00Z</cp:lastPrinted>
  <dcterms:created xsi:type="dcterms:W3CDTF">2016-11-08T16:50:00Z</dcterms:created>
  <dcterms:modified xsi:type="dcterms:W3CDTF">2016-11-08T16:50:00Z</dcterms:modified>
</cp:coreProperties>
</file>